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02A5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1E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</w:rPr>
      </w:pPr>
      <w:r>
        <w:rPr>
          <w:rFonts w:hint="eastAsia" w:ascii="黑体" w:eastAsia="黑体" w:cs="黑体"/>
          <w:color w:val="auto"/>
          <w:sz w:val="44"/>
          <w:szCs w:val="44"/>
        </w:rPr>
        <w:t>关于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江西工业贸易职业技术</w:t>
      </w:r>
      <w:r>
        <w:rPr>
          <w:rFonts w:hint="eastAsia" w:ascii="黑体" w:eastAsia="黑体" w:cs="黑体"/>
          <w:color w:val="auto"/>
          <w:sz w:val="44"/>
          <w:szCs w:val="44"/>
        </w:rPr>
        <w:t>学院</w:t>
      </w:r>
    </w:p>
    <w:p w14:paraId="6A19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智能制造学院</w:t>
      </w:r>
      <w:r>
        <w:rPr>
          <w:rFonts w:ascii="黑体" w:eastAsia="黑体" w:cs="黑体"/>
          <w:color w:val="auto"/>
          <w:sz w:val="44"/>
          <w:szCs w:val="44"/>
          <w:lang w:eastAsia="zh-CN"/>
        </w:rPr>
        <w:t>智能物联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产业学院</w:t>
      </w:r>
    </w:p>
    <w:p w14:paraId="5860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人才</w:t>
      </w:r>
      <w:r>
        <w:rPr>
          <w:rFonts w:hint="eastAsia" w:ascii="黑体" w:eastAsia="黑体" w:cs="黑体"/>
          <w:color w:val="auto"/>
          <w:sz w:val="44"/>
          <w:szCs w:val="44"/>
        </w:rPr>
        <w:t>培养项目方案征集公告</w:t>
      </w:r>
    </w:p>
    <w:p w14:paraId="7962F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</w:p>
    <w:p w14:paraId="39E9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为推进学院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双高建设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，落实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产教融合育人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目标，现就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智能制造学院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智能物联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产业学院人才培养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项目面向社会公开征集建设方案。现将有关事项公告如下：</w:t>
      </w:r>
    </w:p>
    <w:p w14:paraId="22040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一、项目名称</w:t>
      </w:r>
    </w:p>
    <w:p w14:paraId="5792D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智能制造学院</w:t>
      </w:r>
      <w:bookmarkStart w:id="0" w:name="OLE_LINK4"/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智能物联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产业学院人才培养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项目</w:t>
      </w:r>
      <w:bookmarkEnd w:id="0"/>
    </w:p>
    <w:p w14:paraId="6E05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二、建设内容</w:t>
      </w:r>
    </w:p>
    <w:p w14:paraId="78D8D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围绕校企共建产业学院目标，拟开展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智能制造学院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智能物联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产业学院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人才培养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建设，包含场地租赁及配套服务建设，本项目预算金额按照4000元/人·学期计算，人数以实际培养人数为准。主要建设</w:t>
      </w:r>
      <w:bookmarkStart w:id="1" w:name="OLE_LINK2"/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智能制造学院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物联网应用技术、人工智能技术应用二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个专业</w:t>
      </w:r>
      <w:bookmarkEnd w:id="1"/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(以下简称相关专业)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学生现场工程师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校企联合培养人才和场地租赁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EDC02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采购意向说明</w:t>
      </w:r>
    </w:p>
    <w:p w14:paraId="51AC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项目以产业需求为导向，通过校企联合制定培养方案、共建实训基地、企业导师协同授课等模式，构建“课岗对接、产教融合”的人才培养体系，共同培养系部相关专业学生，确保学生毕业即能胜任专业对口的一线岗位需求，为区域产业发展提供人才支撑。</w:t>
      </w:r>
    </w:p>
    <w:p w14:paraId="09BC65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eastAsia="微软雅黑" w:cs="微软雅黑"/>
          <w:i w:val="0"/>
          <w:iCs w:val="0"/>
          <w:caps w:val="0"/>
          <w:smallCaps w:val="0"/>
          <w:color w:val="auto"/>
          <w:spacing w:val="0"/>
          <w:sz w:val="31"/>
          <w:szCs w:val="31"/>
          <w:shd w:val="clear" w:color="auto" w:fill="FFFFFF"/>
        </w:rPr>
        <w:t>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（一）主体服务</w:t>
      </w:r>
    </w:p>
    <w:p w14:paraId="215980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1.共建人才培养方案：校企联合制定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物联网应用技术、人工智能技术应用2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个专业人才培养方案；</w:t>
      </w:r>
    </w:p>
    <w:p w14:paraId="54CBDC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2.共建课程体系：校企共同制定上述</w:t>
      </w:r>
      <w:bookmarkStart w:id="3" w:name="_GoBack"/>
      <w:bookmarkEnd w:id="3"/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个专业的第五学期各3门以上专业课程；</w:t>
      </w:r>
    </w:p>
    <w:p w14:paraId="1A6A6007">
      <w:pPr>
        <w:spacing w:after="0" w:line="600" w:lineRule="exact"/>
        <w:ind w:firstLine="640" w:firstLineChars="200"/>
        <w:rPr>
          <w:rFonts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3.共组师资团队：校内专职教师+企业导师协同授课，其中配备企业导师需为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人工智能技术、物联网技术、机电一体化技术、计算机网络技术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等专业高级工及以上实训老师总人数不少于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10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人。</w:t>
      </w:r>
    </w:p>
    <w:p w14:paraId="152E07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4.实训教学设备：配备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人工智能技术、物联网技术、机电一体化技术、计算机网络技术等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专业相关实训设备，能够同时满足不少于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250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个学生进行实操教学且实训设备总体数量不少于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30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套。</w:t>
      </w:r>
    </w:p>
    <w:p w14:paraId="5CB593E2">
      <w:pPr>
        <w:spacing w:after="0" w:line="600" w:lineRule="exact"/>
        <w:ind w:firstLine="640" w:firstLineChars="200"/>
        <w:rPr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5.实训机房电脑配置要求：国产台式电脑且处理器i7及以上、内存16G 、硬盘大于512G 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或移动式笔记本电脑且i5及以上、内存8G、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硬盘大于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256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G；实训机房电脑不少于100台。</w:t>
      </w:r>
    </w:p>
    <w:p w14:paraId="1CF3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（二）配套服务</w:t>
      </w:r>
    </w:p>
    <w:p w14:paraId="51C166C4">
      <w:pPr>
        <w:ind w:firstLine="640" w:firstLineChars="200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1.住宿条件:要求在南昌市区域范围内，住宿标准为4-6人间。按校方标准提供床铺、卫生间、空调、洗衣机及热水等，达到校方学生合理的住宿需求； </w:t>
      </w:r>
    </w:p>
    <w:p w14:paraId="4A2995C3">
      <w:pPr>
        <w:ind w:firstLine="640" w:firstLineChars="200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2.教学场地要求：理论教室同时容纳不得低于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250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人上课，实训教室满足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250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人进行实操训练；</w:t>
      </w:r>
    </w:p>
    <w:p w14:paraId="5099FB24">
      <w:pPr>
        <w:ind w:firstLine="640" w:firstLineChars="200"/>
        <w:jc w:val="left"/>
        <w:rPr>
          <w:rFonts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3.生活场地要求：场地有食堂、超市、操场等场所能满足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250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名以上学生正常日常生活、运动、学习等要求；</w:t>
      </w:r>
    </w:p>
    <w:p w14:paraId="3298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4.实习实训要求：需要配套智能制造学院相关专业实训教学设备，能提供专业学生对口的单位见习等优质就业服务。</w:t>
      </w:r>
    </w:p>
    <w:p w14:paraId="094B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5.其他配套条件要求：提供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 w:bidi="ar-SA"/>
        </w:rPr>
        <w:t>5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张以上教师办公桌工位，有专门的安保人员，配套生活超市等。</w:t>
      </w:r>
    </w:p>
    <w:p w14:paraId="00E2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eastAsia="黑体" w:cs="黑体"/>
          <w:color w:val="auto"/>
          <w:sz w:val="32"/>
          <w:szCs w:val="32"/>
        </w:rPr>
        <w:t>、方案供应商资质条件</w:t>
      </w:r>
    </w:p>
    <w:p w14:paraId="3EC0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具有独立企业法人资格，持有行政主管部门核发的有效期内的营业执照（提供证书复印件）。</w:t>
      </w:r>
    </w:p>
    <w:p w14:paraId="34F0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近三年在经营活动中没有重大违法记录书面声明（提供盖章的声明函）。</w:t>
      </w:r>
    </w:p>
    <w:p w14:paraId="3EC48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具有三年内同项目案例，并通过验收，需提供相关说明。（提供项目合同或项目建设单位盖章的验收报告）。</w:t>
      </w:r>
    </w:p>
    <w:p w14:paraId="7C8A7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以上资质材料，请随方案一并发送至指定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厚泽楼314室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263802436@qq.com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邮箱，否则视为无效方案。</w:t>
      </w:r>
    </w:p>
    <w:p w14:paraId="37A4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eastAsia="黑体" w:cs="黑体"/>
          <w:color w:val="auto"/>
          <w:sz w:val="32"/>
          <w:szCs w:val="32"/>
        </w:rPr>
        <w:t>、咨询及现场勘察</w:t>
      </w:r>
    </w:p>
    <w:p w14:paraId="6F55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日—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日为咨询。期间如对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项目方案有疑问，可在上班时间致电咨询联系人或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来校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勘查，来校勘查请提前联系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智能制造学院部门韦娜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老师办理预约入校。</w:t>
      </w:r>
    </w:p>
    <w:p w14:paraId="3C8EBC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方案征集要求与提交时间</w:t>
      </w:r>
    </w:p>
    <w:p w14:paraId="6D63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电子方案提交截止时间为</w:t>
      </w:r>
      <w:bookmarkStart w:id="2" w:name="OLE_LINK1"/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</w:t>
      </w:r>
      <w:bookmarkEnd w:id="2"/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17:00，纸质方案提交截止时间为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日16:00，逾期不予受理。</w:t>
      </w:r>
    </w:p>
    <w:p w14:paraId="570B6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方案需提交纸质材料，一式</w:t>
      </w:r>
      <w:r>
        <w:rPr>
          <w:rFonts w:asci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份，统一用A4纸双面打印，封面白色，方案内容和图片不得出现单位名称，不得做任何记号，否则将按作废处理。纸质材料装订成册后装袋密封，袋子封面禁止加盖单位公章。</w:t>
      </w:r>
    </w:p>
    <w:p w14:paraId="4F716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方案需提交电子档材料，可根据需求及自身产品特色，结合方案介绍。方案文件格式DOC或DOCX，文件名命名规则为“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智能制造学院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智能物联产业学院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人才培养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项目”。发送到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26380243@qq.com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邮箱。</w:t>
      </w:r>
    </w:p>
    <w:p w14:paraId="1D5C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本次征集的方案仅作为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我部门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相关项目建设方案撰写的参考依据，不作他用，我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不收取不支付任何费用。应征单位参与本次方案征集即视为认同本条款。</w:t>
      </w:r>
    </w:p>
    <w:p w14:paraId="78B8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应征单位要保证提交的方案不会侵犯任何其他人的知识产权。若发生由此造成的任何纠纷，一切法律责任由应征单位承担。</w:t>
      </w:r>
    </w:p>
    <w:p w14:paraId="325D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方案评审由征集人组织有关专家进行评审。</w:t>
      </w:r>
    </w:p>
    <w:p w14:paraId="21B4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（七）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方案递交后所有权归属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江西工业贸易职业技术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学院，最终上报采购方案与此次征集无关。</w:t>
      </w:r>
    </w:p>
    <w:p w14:paraId="353E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七、</w:t>
      </w:r>
      <w:r>
        <w:rPr>
          <w:rFonts w:hint="eastAsia" w:ascii="黑体" w:eastAsia="黑体" w:cs="黑体"/>
          <w:color w:val="auto"/>
          <w:sz w:val="32"/>
          <w:szCs w:val="32"/>
        </w:rPr>
        <w:t>联系方式</w:t>
      </w:r>
    </w:p>
    <w:p w14:paraId="0A18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韦娜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13970880764</w:t>
      </w:r>
    </w:p>
    <w:p w14:paraId="362C3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江西省南昌市红角洲嘉言路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699号江西工业贸易技术学院厚泽楼314室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 w14:paraId="2DBB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智能制造学院</w:t>
      </w:r>
    </w:p>
    <w:p w14:paraId="7C1F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 xml:space="preserve">日 </w:t>
      </w:r>
    </w:p>
    <w:p w14:paraId="7C69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附件：</w:t>
      </w:r>
    </w:p>
    <w:p w14:paraId="5C26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智能制造学院智能物联产业学院</w:t>
      </w:r>
    </w:p>
    <w:p w14:paraId="0A92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人才培养项目征集方案模板</w:t>
      </w:r>
    </w:p>
    <w:p w14:paraId="52A003CA">
      <w:pPr>
        <w:pStyle w:val="6"/>
        <w:rPr>
          <w:rFonts w:hint="eastAsia"/>
          <w:color w:val="auto"/>
          <w:lang w:eastAsia="zh-CN"/>
        </w:rPr>
      </w:pPr>
    </w:p>
    <w:tbl>
      <w:tblPr>
        <w:tblStyle w:val="8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562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0087B4E">
            <w:pPr>
              <w:spacing w:before="75" w:line="230" w:lineRule="auto"/>
              <w:ind w:left="88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7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BA9947">
            <w:pPr>
              <w:spacing w:before="109" w:line="228" w:lineRule="auto"/>
              <w:ind w:left="171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9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CE2E7A4">
            <w:pPr>
              <w:spacing w:before="109" w:line="230" w:lineRule="auto"/>
              <w:ind w:left="2508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10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69B993A">
            <w:pPr>
              <w:spacing w:before="76" w:line="228" w:lineRule="auto"/>
              <w:ind w:left="92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eastAsia="宋体" w:cs="宋体"/>
                <w:color w:val="auto"/>
                <w:spacing w:val="5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92C524F">
            <w:pPr>
              <w:spacing w:before="75" w:line="228" w:lineRule="auto"/>
              <w:ind w:left="91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eastAsia="宋体" w:cs="宋体"/>
                <w:color w:val="auto"/>
                <w:spacing w:val="5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33F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940CC01">
            <w:pPr>
              <w:spacing w:line="242" w:lineRule="auto"/>
              <w:rPr>
                <w:rFonts w:ascii="Arial" w:hAnsi="Arial"/>
                <w:color w:val="auto"/>
                <w:sz w:val="21"/>
              </w:rPr>
            </w:pPr>
          </w:p>
          <w:p w14:paraId="491F2BB6">
            <w:pPr>
              <w:spacing w:line="242" w:lineRule="auto"/>
              <w:rPr>
                <w:rFonts w:ascii="Arial" w:hAnsi="Arial"/>
                <w:color w:val="auto"/>
                <w:sz w:val="21"/>
              </w:rPr>
            </w:pPr>
          </w:p>
          <w:p w14:paraId="6397B464">
            <w:pPr>
              <w:spacing w:line="242" w:lineRule="auto"/>
              <w:rPr>
                <w:rFonts w:ascii="Arial" w:hAnsi="Arial"/>
                <w:color w:val="auto"/>
                <w:sz w:val="21"/>
              </w:rPr>
            </w:pPr>
          </w:p>
          <w:p w14:paraId="0893732C">
            <w:pPr>
              <w:spacing w:line="242" w:lineRule="auto"/>
              <w:rPr>
                <w:rFonts w:ascii="Arial" w:hAnsi="Arial"/>
                <w:color w:val="auto"/>
                <w:sz w:val="21"/>
              </w:rPr>
            </w:pPr>
          </w:p>
          <w:p w14:paraId="7F121902">
            <w:pPr>
              <w:spacing w:line="242" w:lineRule="auto"/>
              <w:rPr>
                <w:rFonts w:ascii="Arial" w:hAnsi="Arial"/>
                <w:color w:val="auto"/>
                <w:sz w:val="21"/>
              </w:rPr>
            </w:pPr>
          </w:p>
          <w:p w14:paraId="1934373A">
            <w:pPr>
              <w:spacing w:line="242" w:lineRule="auto"/>
              <w:rPr>
                <w:rFonts w:ascii="Arial" w:hAnsi="Arial"/>
                <w:color w:val="auto"/>
                <w:sz w:val="21"/>
              </w:rPr>
            </w:pPr>
          </w:p>
          <w:p w14:paraId="60154CC7">
            <w:pPr>
              <w:spacing w:before="62" w:line="192" w:lineRule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E8C472C">
            <w:pPr>
              <w:rPr>
                <w:rFonts w:ascii="Arial" w:hAnsi="Arial"/>
                <w:color w:val="auto"/>
                <w:sz w:val="21"/>
              </w:rPr>
            </w:pPr>
          </w:p>
          <w:p w14:paraId="12EF4F32">
            <w:pPr>
              <w:rPr>
                <w:rFonts w:ascii="Arial" w:hAnsi="Arial"/>
                <w:color w:val="auto"/>
                <w:sz w:val="21"/>
              </w:rPr>
            </w:pPr>
          </w:p>
          <w:p w14:paraId="7ACBE7C5">
            <w:pPr>
              <w:rPr>
                <w:rFonts w:ascii="Arial" w:hAnsi="Arial"/>
                <w:color w:val="auto"/>
                <w:sz w:val="21"/>
              </w:rPr>
            </w:pPr>
          </w:p>
          <w:p w14:paraId="19B8A362">
            <w:pPr>
              <w:rPr>
                <w:rFonts w:ascii="Arial" w:hAnsi="Arial"/>
                <w:color w:val="auto"/>
                <w:sz w:val="21"/>
              </w:rPr>
            </w:pPr>
          </w:p>
          <w:p w14:paraId="39A9F9CF">
            <w:pPr>
              <w:rPr>
                <w:rFonts w:ascii="Arial" w:hAnsi="Arial"/>
                <w:color w:val="auto"/>
                <w:sz w:val="21"/>
              </w:rPr>
            </w:pPr>
          </w:p>
          <w:p w14:paraId="5A1AAB39">
            <w:pPr>
              <w:rPr>
                <w:rFonts w:ascii="Arial" w:hAnsi="Arial"/>
                <w:color w:val="auto"/>
                <w:sz w:val="21"/>
              </w:rPr>
            </w:pPr>
          </w:p>
          <w:p w14:paraId="0F3BEFAD">
            <w:pPr>
              <w:spacing w:before="62" w:line="228" w:lineRule="auto"/>
              <w:jc w:val="both"/>
              <w:rPr>
                <w:rFonts w:hint="eastAsia" w:asci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664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1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eastAsia="宋体" w:cs="宋体"/>
                <w:color w:val="auto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1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eastAsia="宋体" w:cs="宋体"/>
                <w:color w:val="auto"/>
                <w:spacing w:val="1"/>
                <w:sz w:val="19"/>
                <w:szCs w:val="19"/>
                <w:lang w:eastAsia="zh-CN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eastAsia="宋体" w:cs="宋体"/>
                <w:color w:val="auto"/>
                <w:spacing w:val="1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eastAsia="宋体" w:cs="宋体"/>
                <w:color w:val="auto"/>
                <w:spacing w:val="1"/>
                <w:sz w:val="19"/>
                <w:szCs w:val="19"/>
              </w:rPr>
              <w:t xml:space="preserve"> (以下属</w:t>
            </w:r>
            <w:r>
              <w:rPr>
                <w:rFonts w:hint="eastAsia" w:asci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1636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2A95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1706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5191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7EB5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0DCA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6ED701B">
            <w:pPr>
              <w:rPr>
                <w:rFonts w:ascii="Arial" w:hAnsi="Arial"/>
                <w:color w:val="auto"/>
                <w:sz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4C815DF">
            <w:pPr>
              <w:rPr>
                <w:rFonts w:ascii="Arial" w:hAnsi="Arial"/>
                <w:color w:val="auto"/>
                <w:sz w:val="21"/>
              </w:rPr>
            </w:pPr>
          </w:p>
        </w:tc>
      </w:tr>
      <w:tr w14:paraId="46BED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6E31E4A">
            <w:pPr>
              <w:spacing w:before="88" w:line="190" w:lineRule="auto"/>
              <w:ind w:left="240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F2EF1CE">
            <w:pPr>
              <w:spacing w:before="54" w:line="233" w:lineRule="auto"/>
              <w:ind w:left="483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B18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5E095F1">
            <w:pPr>
              <w:rPr>
                <w:rFonts w:ascii="Arial" w:hAnsi="Arial"/>
                <w:color w:val="auto"/>
                <w:sz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C23C62D">
            <w:pPr>
              <w:rPr>
                <w:rFonts w:ascii="Arial" w:hAnsi="Arial"/>
                <w:color w:val="auto"/>
                <w:sz w:val="21"/>
              </w:rPr>
            </w:pPr>
          </w:p>
        </w:tc>
      </w:tr>
      <w:tr w14:paraId="6F0C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4DD7A2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5F9EF9DF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24BD09F6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030F40C3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15693A79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1EABDA00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5453190D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35B8F65F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2880A452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3B0AA8D8">
            <w:pPr>
              <w:spacing w:line="257" w:lineRule="auto"/>
              <w:rPr>
                <w:rFonts w:ascii="Arial" w:hAnsi="Arial"/>
                <w:color w:val="auto"/>
                <w:sz w:val="21"/>
              </w:rPr>
            </w:pPr>
          </w:p>
          <w:p w14:paraId="0CE505A2">
            <w:pPr>
              <w:spacing w:before="62" w:line="190" w:lineRule="auto"/>
              <w:ind w:left="241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78AAAF0">
            <w:pPr>
              <w:spacing w:line="252" w:lineRule="auto"/>
              <w:rPr>
                <w:rFonts w:ascii="Arial" w:hAnsi="Arial"/>
                <w:color w:val="auto"/>
                <w:sz w:val="21"/>
              </w:rPr>
            </w:pPr>
          </w:p>
          <w:p w14:paraId="1B23558B">
            <w:pPr>
              <w:spacing w:line="252" w:lineRule="auto"/>
              <w:rPr>
                <w:rFonts w:ascii="Arial" w:hAnsi="Arial"/>
                <w:color w:val="auto"/>
                <w:sz w:val="21"/>
              </w:rPr>
            </w:pPr>
          </w:p>
          <w:p w14:paraId="2FBDE60E">
            <w:pPr>
              <w:spacing w:line="252" w:lineRule="auto"/>
              <w:rPr>
                <w:rFonts w:ascii="Arial" w:hAnsi="Arial"/>
                <w:color w:val="auto"/>
                <w:sz w:val="21"/>
              </w:rPr>
            </w:pPr>
          </w:p>
          <w:p w14:paraId="0256E609">
            <w:pPr>
              <w:spacing w:line="252" w:lineRule="auto"/>
              <w:rPr>
                <w:rFonts w:ascii="Arial" w:hAnsi="Arial"/>
                <w:color w:val="auto"/>
                <w:sz w:val="21"/>
              </w:rPr>
            </w:pPr>
          </w:p>
          <w:p w14:paraId="1945C6FE">
            <w:pPr>
              <w:spacing w:line="252" w:lineRule="auto"/>
              <w:rPr>
                <w:rFonts w:ascii="Arial" w:hAnsi="Arial"/>
                <w:color w:val="auto"/>
                <w:sz w:val="21"/>
              </w:rPr>
            </w:pPr>
          </w:p>
          <w:p w14:paraId="60D849C5">
            <w:pPr>
              <w:spacing w:line="252" w:lineRule="auto"/>
              <w:rPr>
                <w:rFonts w:ascii="Arial" w:hAnsi="Arial"/>
                <w:color w:val="auto"/>
                <w:sz w:val="21"/>
              </w:rPr>
            </w:pPr>
          </w:p>
          <w:p w14:paraId="7B322B3B">
            <w:pPr>
              <w:spacing w:line="254" w:lineRule="auto"/>
              <w:rPr>
                <w:rFonts w:ascii="Arial" w:hAnsi="Arial"/>
                <w:color w:val="auto"/>
                <w:sz w:val="21"/>
              </w:rPr>
            </w:pPr>
          </w:p>
          <w:p w14:paraId="6CA72B0D">
            <w:pPr>
              <w:spacing w:line="254" w:lineRule="auto"/>
              <w:rPr>
                <w:rFonts w:ascii="Arial" w:hAnsi="Arial"/>
                <w:color w:val="auto"/>
                <w:sz w:val="21"/>
              </w:rPr>
            </w:pPr>
          </w:p>
          <w:p w14:paraId="3B1B4ED1">
            <w:pPr>
              <w:spacing w:line="254" w:lineRule="auto"/>
              <w:rPr>
                <w:rFonts w:ascii="Arial" w:hAnsi="Arial"/>
                <w:color w:val="auto"/>
                <w:sz w:val="21"/>
              </w:rPr>
            </w:pPr>
          </w:p>
          <w:p w14:paraId="6EF88A37">
            <w:pPr>
              <w:spacing w:line="254" w:lineRule="auto"/>
              <w:rPr>
                <w:rFonts w:ascii="Arial" w:hAnsi="Arial"/>
                <w:color w:val="auto"/>
                <w:sz w:val="21"/>
              </w:rPr>
            </w:pPr>
          </w:p>
          <w:p w14:paraId="7FA3A5A8">
            <w:pPr>
              <w:spacing w:before="62" w:line="228" w:lineRule="auto"/>
              <w:ind w:left="174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5EF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  <w14:textOutline w14:w="3606" w14:cap="flat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</w:rPr>
              <w:t xml:space="preserve">   (以下属</w:t>
            </w:r>
            <w:r>
              <w:rPr>
                <w:rFonts w:hint="eastAsia" w:asci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2244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6DF3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asci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eastAsia="宋体" w:cs="宋体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asci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eastAsia="宋体" w:cs="宋体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439F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eastAsia="宋体" w:cs="宋体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eastAsia="宋体" w:cs="宋体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ascii="宋体" w:eastAsia="宋体" w:cs="宋体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ascii="宋体" w:eastAsia="宋体" w:cs="宋体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eastAsia="宋体" w:cs="宋体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eastAsia="宋体" w:cs="宋体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ascii="宋体" w:eastAsia="宋体" w:cs="宋体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ascii="宋体" w:eastAsia="宋体" w:cs="宋体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0A0C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0572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51FB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cs="宋体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26F8040">
            <w:pPr>
              <w:rPr>
                <w:rFonts w:ascii="Arial" w:hAnsi="Arial"/>
                <w:color w:val="auto"/>
                <w:sz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CFAB46C">
            <w:pPr>
              <w:rPr>
                <w:rFonts w:ascii="Arial" w:hAnsi="Arial"/>
                <w:color w:val="auto"/>
                <w:sz w:val="21"/>
              </w:rPr>
            </w:pPr>
          </w:p>
        </w:tc>
      </w:tr>
    </w:tbl>
    <w:p w14:paraId="2AFD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645DEF2A">
      <w:pPr>
        <w:pStyle w:val="6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6A21481C">
      <w:pPr>
        <w:spacing w:line="580" w:lineRule="exact"/>
        <w:jc w:val="left"/>
        <w:rPr>
          <w:rFonts w:asci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2：</w:t>
      </w:r>
    </w:p>
    <w:p w14:paraId="0847E8EF">
      <w:pPr>
        <w:spacing w:line="58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关于评选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智能制造学院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智能物联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产业学院人才培养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项目建设方案的推荐表</w:t>
      </w:r>
    </w:p>
    <w:p w14:paraId="79CD531B">
      <w:pPr>
        <w:spacing w:line="580" w:lineRule="exact"/>
        <w:jc w:val="both"/>
        <w:rPr>
          <w:rFonts w:hint="eastAsia" w:ascii="仿宋" w:eastAsia="仿宋"/>
          <w:color w:val="auto"/>
          <w:sz w:val="32"/>
          <w:szCs w:val="32"/>
          <w:lang w:eastAsia="zh-CN"/>
        </w:rPr>
      </w:pPr>
    </w:p>
    <w:p w14:paraId="65E072EC">
      <w:pPr>
        <w:spacing w:line="580" w:lineRule="exact"/>
        <w:jc w:val="both"/>
        <w:rPr>
          <w:rFonts w:hint="eastAsia" w:asci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eastAsia="仿宋"/>
          <w:color w:val="auto"/>
          <w:sz w:val="32"/>
          <w:szCs w:val="32"/>
          <w:lang w:eastAsia="zh-CN"/>
        </w:rPr>
        <w:t>项目名称：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智能制造学院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智能物联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产业学院人才培养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项目</w:t>
      </w:r>
    </w:p>
    <w:tbl>
      <w:tblPr>
        <w:tblStyle w:val="8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162"/>
        <w:gridCol w:w="1207"/>
        <w:gridCol w:w="1695"/>
      </w:tblGrid>
      <w:tr w14:paraId="4634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C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项目汇报序号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4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建设方案推荐内容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6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是否</w:t>
            </w:r>
          </w:p>
          <w:p w14:paraId="6809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推荐</w:t>
            </w:r>
          </w:p>
          <w:p w14:paraId="6740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填是或否）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4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初审意见</w:t>
            </w:r>
          </w:p>
          <w:p w14:paraId="7160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对项目方案的其他修改或审核意见）</w:t>
            </w:r>
          </w:p>
        </w:tc>
      </w:tr>
      <w:tr w14:paraId="47BE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0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8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方案设计是否较合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</w:rPr>
              <w:t>理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6CC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方案内容是否较完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</w:rPr>
              <w:t>整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2DB5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术要求符合项目特点和实际需要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A29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4.方案</w:t>
            </w:r>
            <w:r>
              <w:rPr>
                <w:rFonts w:hint="eastAsia" w:ascii="仿宋_GB2312" w:eastAsia="仿宋_GB2312" w:cs="仿宋_GB2312"/>
                <w:color w:val="auto"/>
                <w:spacing w:val="10"/>
                <w:sz w:val="24"/>
                <w:szCs w:val="24"/>
              </w:rPr>
              <w:t>技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术要求是否较完整、明确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BB4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5.方案</w:t>
            </w:r>
            <w:r>
              <w:rPr>
                <w:rFonts w:hint="eastAsia" w:ascii="仿宋_GB2312" w:eastAsia="仿宋_GB2312" w:cs="仿宋_GB2312"/>
                <w:color w:val="auto"/>
                <w:spacing w:val="18"/>
                <w:sz w:val="24"/>
                <w:szCs w:val="24"/>
              </w:rPr>
              <w:t>技术</w:t>
            </w:r>
            <w:r>
              <w:rPr>
                <w:rFonts w:hint="eastAsia" w:ascii="仿宋_GB2312" w:eastAsia="仿宋_GB2312" w:cs="仿宋_GB2312"/>
                <w:color w:val="auto"/>
                <w:spacing w:val="10"/>
                <w:sz w:val="24"/>
                <w:szCs w:val="24"/>
              </w:rPr>
              <w:t>要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求是否符合国家强制性标准及规范，如安全、性能、服务等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54DF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6.方案</w:t>
            </w:r>
            <w:r>
              <w:rPr>
                <w:rFonts w:hint="eastAsia" w:asci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术要求是否考虑后续采购竞争性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1D69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7.方案</w:t>
            </w:r>
            <w:r>
              <w:rPr>
                <w:rFonts w:hint="eastAsia" w:ascii="仿宋_GB2312" w:eastAsia="仿宋_GB2312" w:cs="仿宋_GB2312"/>
                <w:color w:val="auto"/>
                <w:spacing w:val="18"/>
                <w:sz w:val="24"/>
                <w:szCs w:val="24"/>
              </w:rPr>
              <w:t>技</w:t>
            </w:r>
            <w:r>
              <w:rPr>
                <w:rFonts w:hint="eastAsia" w:ascii="仿宋_GB2312" w:eastAsia="仿宋_GB2312" w:cs="仿宋_GB2312"/>
                <w:color w:val="auto"/>
                <w:spacing w:val="15"/>
                <w:sz w:val="24"/>
                <w:szCs w:val="24"/>
              </w:rPr>
              <w:t>术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要求是否指向特定的专利、商标、品牌、技术路线等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4746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8.方案</w:t>
            </w:r>
            <w:r>
              <w:rPr>
                <w:rFonts w:hint="eastAsia" w:asci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术性能是否具有先进性、适用性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B10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5"/>
                <w:sz w:val="24"/>
                <w:szCs w:val="24"/>
                <w:lang w:val="en-US" w:eastAsia="zh-CN"/>
              </w:rPr>
              <w:t>9.方案</w:t>
            </w:r>
            <w:r>
              <w:rPr>
                <w:rFonts w:hint="eastAsia" w:ascii="仿宋_GB2312" w:eastAsia="仿宋_GB2312" w:cs="仿宋_GB2312"/>
                <w:color w:val="auto"/>
                <w:spacing w:val="15"/>
                <w:sz w:val="24"/>
                <w:szCs w:val="24"/>
              </w:rPr>
              <w:t>商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</w:rPr>
              <w:t>务要求是否设置合理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629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11"/>
                <w:sz w:val="24"/>
                <w:szCs w:val="24"/>
                <w:lang w:val="en-US" w:eastAsia="zh-CN"/>
              </w:rPr>
              <w:t>10.方案</w:t>
            </w:r>
            <w:r>
              <w:rPr>
                <w:rFonts w:hint="eastAsia" w:ascii="仿宋_GB2312" w:eastAsia="仿宋_GB2312" w:cs="仿宋_GB2312"/>
                <w:color w:val="auto"/>
                <w:spacing w:val="11"/>
                <w:sz w:val="24"/>
                <w:szCs w:val="24"/>
              </w:rPr>
              <w:t>商</w:t>
            </w:r>
            <w:r>
              <w:rPr>
                <w:rFonts w:hint="eastAsia" w:ascii="仿宋_GB2312" w:eastAsia="仿宋_GB2312" w:cs="仿宋_GB2312"/>
                <w:color w:val="auto"/>
                <w:spacing w:val="9"/>
                <w:sz w:val="24"/>
                <w:szCs w:val="24"/>
              </w:rPr>
              <w:t>务要求符合项目特点和实际需要</w:t>
            </w:r>
            <w:r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4508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3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C8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0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1D02"/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3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98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8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CB2D2"/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A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B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F4A8203">
      <w:pPr>
        <w:spacing w:line="580" w:lineRule="exact"/>
        <w:ind w:left="320" w:hanging="320" w:hangingChars="100"/>
        <w:jc w:val="both"/>
        <w:rPr>
          <w:rFonts w:asci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eastAsia="仿宋"/>
          <w:color w:val="auto"/>
          <w:sz w:val="32"/>
          <w:szCs w:val="32"/>
          <w:lang w:eastAsia="zh-CN"/>
        </w:rPr>
        <w:t>评审人签字：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 xml:space="preserve">                             年  月  日</w:t>
      </w:r>
    </w:p>
    <w:p w14:paraId="760A7C9D">
      <w:pPr>
        <w:spacing w:line="580" w:lineRule="exact"/>
        <w:jc w:val="both"/>
        <w:rPr>
          <w:rFonts w:ascii="仿宋" w:eastAsia="仿宋"/>
          <w:color w:val="auto"/>
          <w:sz w:val="32"/>
          <w:szCs w:val="32"/>
        </w:rPr>
      </w:pPr>
    </w:p>
    <w:p w14:paraId="6DC7C07A">
      <w:pPr>
        <w:spacing w:line="580" w:lineRule="exact"/>
        <w:jc w:val="both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eastAsia="仿宋"/>
          <w:color w:val="auto"/>
          <w:sz w:val="32"/>
          <w:szCs w:val="32"/>
          <w:lang w:eastAsia="zh-CN"/>
        </w:rPr>
        <w:t>注：各项目评审专家人数应为单数。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69E51"/>
    <w:multiLevelType w:val="singleLevel"/>
    <w:tmpl w:val="8D669E51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B5AA2396"/>
    <w:multiLevelType w:val="singleLevel"/>
    <w:tmpl w:val="B5AA2396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DQzYWQ3MjE1MTA5Y2NmZmVjMmJmMDJkN2YyMWY1Y2QifQ=="/>
  </w:docVars>
  <w:rsids>
    <w:rsidRoot w:val="00000000"/>
    <w:rsid w:val="0D6B035F"/>
    <w:rsid w:val="1B776A68"/>
    <w:rsid w:val="30960288"/>
    <w:rsid w:val="48D66832"/>
    <w:rsid w:val="777234E1"/>
    <w:rsid w:val="78823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2838</Words>
  <Characters>2989</Characters>
  <Lines>0</Lines>
  <Paragraphs>77</Paragraphs>
  <TotalTime>4</TotalTime>
  <ScaleCrop>false</ScaleCrop>
  <LinksUpToDate>false</LinksUpToDate>
  <CharactersWithSpaces>3109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2025-03-19T17:30:00Z</dcterms:created>
  <dc:creator>jxgm</dc:creator>
  <cp:lastModifiedBy>“娜”不一样</cp:lastModifiedBy>
  <cp:lastPrinted>2025-06-10T23:02:00Z</cp:lastPrinted>
  <dcterms:modified xsi:type="dcterms:W3CDTF">2026-05-06T09:29:02Z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9AAF5C5A057740C5B8E93906FF3DD318_13</vt:lpwstr>
  </property>
  <property fmtid="{D5CDD505-2E9C-101B-9397-08002B2CF9AE}" pid="4" name="KSOTemplateDocerSaveRecord">
    <vt:lpwstr>eyJoZGlkIjoiOTc3M2Y5NzIzMDFlZjAyY2Q4Njk5ODkyYjFjNzBiNTQiLCJ1c2VySWQiOiIzMTM4NDY3MTEifQ==</vt:lpwstr>
  </property>
</Properties>
</file>